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2DD6" w14:textId="2654815A" w:rsidR="009F7A73" w:rsidRDefault="009F7A73" w:rsidP="00D715F6">
      <w:r w:rsidRPr="00160F4B">
        <w:rPr>
          <w:noProof/>
        </w:rPr>
        <w:drawing>
          <wp:anchor distT="0" distB="0" distL="114300" distR="114300" simplePos="0" relativeHeight="251667456" behindDoc="0" locked="0" layoutInCell="1" allowOverlap="1" wp14:anchorId="12F32899" wp14:editId="34921893">
            <wp:simplePos x="0" y="0"/>
            <wp:positionH relativeFrom="margin">
              <wp:align>center</wp:align>
            </wp:positionH>
            <wp:positionV relativeFrom="paragraph">
              <wp:posOffset>-604520</wp:posOffset>
            </wp:positionV>
            <wp:extent cx="3333750" cy="968340"/>
            <wp:effectExtent l="0" t="0" r="0" b="3810"/>
            <wp:wrapNone/>
            <wp:docPr id="1413507849"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291291" name=""/>
                    <pic:cNvPicPr/>
                  </pic:nvPicPr>
                  <pic:blipFill>
                    <a:blip r:embed="rId7">
                      <a:extLst>
                        <a:ext uri="{28A0092B-C50C-407E-A947-70E740481C1C}">
                          <a14:useLocalDpi xmlns:a14="http://schemas.microsoft.com/office/drawing/2010/main" val="0"/>
                        </a:ext>
                      </a:extLst>
                    </a:blip>
                    <a:stretch>
                      <a:fillRect/>
                    </a:stretch>
                  </pic:blipFill>
                  <pic:spPr>
                    <a:xfrm>
                      <a:off x="0" y="0"/>
                      <a:ext cx="3333750" cy="968340"/>
                    </a:xfrm>
                    <a:prstGeom prst="rect">
                      <a:avLst/>
                    </a:prstGeom>
                  </pic:spPr>
                </pic:pic>
              </a:graphicData>
            </a:graphic>
            <wp14:sizeRelH relativeFrom="margin">
              <wp14:pctWidth>0</wp14:pctWidth>
            </wp14:sizeRelH>
            <wp14:sizeRelV relativeFrom="margin">
              <wp14:pctHeight>0</wp14:pctHeight>
            </wp14:sizeRelV>
          </wp:anchor>
        </w:drawing>
      </w:r>
    </w:p>
    <w:p w14:paraId="077662C7" w14:textId="77777777" w:rsidR="00FA3A8D" w:rsidRDefault="00FA3A8D" w:rsidP="00FA3A8D">
      <w:pPr>
        <w:jc w:val="center"/>
      </w:pPr>
    </w:p>
    <w:p w14:paraId="2BA0B336" w14:textId="77777777" w:rsidR="00FA3A8D" w:rsidRDefault="00FA3A8D" w:rsidP="00FA3A8D">
      <w:pPr>
        <w:jc w:val="center"/>
        <w:rPr>
          <w:sz w:val="24"/>
          <w:szCs w:val="24"/>
        </w:rPr>
      </w:pPr>
    </w:p>
    <w:p w14:paraId="513220CD" w14:textId="63C58589" w:rsidR="009F7A73" w:rsidRPr="00FA3A8D" w:rsidRDefault="009F7A73" w:rsidP="00FA3A8D">
      <w:pPr>
        <w:jc w:val="center"/>
        <w:rPr>
          <w:sz w:val="24"/>
          <w:szCs w:val="24"/>
        </w:rPr>
      </w:pPr>
      <w:r w:rsidRPr="00FA3A8D">
        <w:rPr>
          <w:sz w:val="24"/>
          <w:szCs w:val="24"/>
        </w:rPr>
        <w:t>Tervetuloa Seitsemän sisaren tarinan pariin! Kautta maailman tunnettu tarina esiintyy esimerkiksi Persian, Kreikan, Egyptin, Kiinan ja Pohjois-Amerikan alkuperäisväestöjen mytologiassa.  On arveltu, että tarina olisi peräisin ihmisen alkukodista Afrikan mantereelta ja kulkeutunut sieltä kaikille muille mantereille muuttajien mukana. Siksi seitsemän sisaren tarinaa onkin joskus kutsuttu maailman vanhimmaksi tarinaksi.</w:t>
      </w:r>
    </w:p>
    <w:p w14:paraId="0B21389C" w14:textId="266344BE" w:rsidR="009F7A73" w:rsidRPr="00FA3A8D" w:rsidRDefault="009F7A73" w:rsidP="00FA3A8D">
      <w:pPr>
        <w:jc w:val="center"/>
        <w:rPr>
          <w:sz w:val="24"/>
          <w:szCs w:val="24"/>
        </w:rPr>
      </w:pPr>
      <w:r w:rsidRPr="00FA3A8D">
        <w:rPr>
          <w:sz w:val="24"/>
          <w:szCs w:val="24"/>
        </w:rPr>
        <w:t>Seitsemän sisaren tarina on myös yksi Australian aboriginaalien tunnetuimmista ja tärkeimmistä laululinjoista eli suullista perimätietoa säilyttävistä tarinoista. Laululinjat muodostavat risteävän verkoston läpi Australian laajan mantereen, ja kertovat Australian historiaa aboriginaalien näkökulmasta.</w:t>
      </w:r>
    </w:p>
    <w:p w14:paraId="317CD08C" w14:textId="4950F15C" w:rsidR="00FA3A8D" w:rsidRPr="00FA3A8D" w:rsidRDefault="00A43929" w:rsidP="00FA3A8D">
      <w:pPr>
        <w:jc w:val="center"/>
        <w:rPr>
          <w:sz w:val="24"/>
          <w:szCs w:val="24"/>
        </w:rPr>
      </w:pPr>
      <w:r w:rsidRPr="00FA3A8D">
        <w:rPr>
          <w:sz w:val="24"/>
          <w:szCs w:val="24"/>
        </w:rPr>
        <w:t xml:space="preserve">Näyttelyn koululaistehtävät ovat sovellettavissa eri luokka-asteille. </w:t>
      </w:r>
      <w:r w:rsidR="00FF59F4" w:rsidRPr="00FA3A8D">
        <w:rPr>
          <w:sz w:val="24"/>
          <w:szCs w:val="24"/>
        </w:rPr>
        <w:t xml:space="preserve">Pelkästään symbolien tulkinta voi olla opettavaista ja </w:t>
      </w:r>
      <w:r w:rsidR="00312DFC" w:rsidRPr="00FA3A8D">
        <w:rPr>
          <w:sz w:val="24"/>
          <w:szCs w:val="24"/>
        </w:rPr>
        <w:t>luovuuteen kannustavaa. Kirjalliset tehtävät sopivat erityisesti toiselle asteelle.</w:t>
      </w:r>
    </w:p>
    <w:p w14:paraId="10CAAD25" w14:textId="5ADB33E8" w:rsidR="009F7A73" w:rsidRDefault="00FA3A8D" w:rsidP="00FA3A8D">
      <w:pPr>
        <w:jc w:val="center"/>
      </w:pPr>
      <w:r w:rsidRPr="00FA3A8D">
        <w:rPr>
          <w:sz w:val="24"/>
          <w:szCs w:val="24"/>
        </w:rPr>
        <w:t>Jännittävää matkaa aboriginaalien maailmaan!</w:t>
      </w:r>
      <w:r w:rsidR="009F7A73">
        <w:br w:type="page"/>
      </w:r>
    </w:p>
    <w:p w14:paraId="1F06327E" w14:textId="58DC26D5" w:rsidR="00D715F6" w:rsidRDefault="00D715F6" w:rsidP="00D715F6">
      <w:r w:rsidRPr="00160F4B">
        <w:rPr>
          <w:noProof/>
        </w:rPr>
        <w:lastRenderedPageBreak/>
        <w:drawing>
          <wp:anchor distT="0" distB="0" distL="114300" distR="114300" simplePos="0" relativeHeight="251662336" behindDoc="1" locked="0" layoutInCell="1" allowOverlap="1" wp14:anchorId="54B51291" wp14:editId="41826EB4">
            <wp:simplePos x="0" y="0"/>
            <wp:positionH relativeFrom="margin">
              <wp:align>center</wp:align>
            </wp:positionH>
            <wp:positionV relativeFrom="paragraph">
              <wp:posOffset>-661035</wp:posOffset>
            </wp:positionV>
            <wp:extent cx="3333750" cy="968340"/>
            <wp:effectExtent l="0" t="0" r="0" b="3810"/>
            <wp:wrapNone/>
            <wp:docPr id="155729129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291291" name=""/>
                    <pic:cNvPicPr/>
                  </pic:nvPicPr>
                  <pic:blipFill>
                    <a:blip r:embed="rId7">
                      <a:extLst>
                        <a:ext uri="{28A0092B-C50C-407E-A947-70E740481C1C}">
                          <a14:useLocalDpi xmlns:a14="http://schemas.microsoft.com/office/drawing/2010/main" val="0"/>
                        </a:ext>
                      </a:extLst>
                    </a:blip>
                    <a:stretch>
                      <a:fillRect/>
                    </a:stretch>
                  </pic:blipFill>
                  <pic:spPr>
                    <a:xfrm>
                      <a:off x="0" y="0"/>
                      <a:ext cx="3333750" cy="96834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p>
    <w:p w14:paraId="4BCBDD98" w14:textId="2BA70548" w:rsidR="00D715F6" w:rsidRDefault="000245D3" w:rsidP="00D715F6">
      <w:r w:rsidRPr="00160F4B">
        <w:rPr>
          <w:noProof/>
        </w:rPr>
        <w:drawing>
          <wp:anchor distT="0" distB="0" distL="114300" distR="114300" simplePos="0" relativeHeight="251659264" behindDoc="1" locked="0" layoutInCell="1" allowOverlap="1" wp14:anchorId="43052CCA" wp14:editId="56436B8C">
            <wp:simplePos x="0" y="0"/>
            <wp:positionH relativeFrom="margin">
              <wp:align>center</wp:align>
            </wp:positionH>
            <wp:positionV relativeFrom="paragraph">
              <wp:posOffset>5080</wp:posOffset>
            </wp:positionV>
            <wp:extent cx="5496560" cy="1276350"/>
            <wp:effectExtent l="0" t="0" r="8890" b="0"/>
            <wp:wrapNone/>
            <wp:docPr id="20612594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5943" name=""/>
                    <pic:cNvPicPr/>
                  </pic:nvPicPr>
                  <pic:blipFill>
                    <a:blip r:embed="rId8">
                      <a:extLst>
                        <a:ext uri="{28A0092B-C50C-407E-A947-70E740481C1C}">
                          <a14:useLocalDpi xmlns:a14="http://schemas.microsoft.com/office/drawing/2010/main" val="0"/>
                        </a:ext>
                      </a:extLst>
                    </a:blip>
                    <a:stretch>
                      <a:fillRect/>
                    </a:stretch>
                  </pic:blipFill>
                  <pic:spPr>
                    <a:xfrm>
                      <a:off x="0" y="0"/>
                      <a:ext cx="5496560" cy="1276350"/>
                    </a:xfrm>
                    <a:prstGeom prst="rect">
                      <a:avLst/>
                    </a:prstGeom>
                  </pic:spPr>
                </pic:pic>
              </a:graphicData>
            </a:graphic>
          </wp:anchor>
        </w:drawing>
      </w:r>
    </w:p>
    <w:p w14:paraId="6700F78B" w14:textId="77777777" w:rsidR="00D715F6" w:rsidRDefault="00D715F6" w:rsidP="00D715F6">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B257BD8" w14:textId="77777777" w:rsidR="00D715F6" w:rsidRDefault="00D715F6" w:rsidP="00D715F6"/>
    <w:p w14:paraId="580CD9F8" w14:textId="0531B10B" w:rsidR="00D715F6" w:rsidRPr="000245D3" w:rsidRDefault="00D715F6" w:rsidP="000245D3">
      <w:pPr>
        <w:jc w:val="both"/>
        <w:rPr>
          <w:sz w:val="24"/>
          <w:szCs w:val="24"/>
        </w:rPr>
      </w:pPr>
      <w:r w:rsidRPr="000245D3">
        <w:rPr>
          <w:noProof/>
          <w:sz w:val="24"/>
          <w:szCs w:val="24"/>
        </w:rPr>
        <w:drawing>
          <wp:anchor distT="0" distB="0" distL="114300" distR="114300" simplePos="0" relativeHeight="251660288" behindDoc="1" locked="0" layoutInCell="1" allowOverlap="1" wp14:anchorId="23138055" wp14:editId="391A85DD">
            <wp:simplePos x="0" y="0"/>
            <wp:positionH relativeFrom="column">
              <wp:posOffset>1775460</wp:posOffset>
            </wp:positionH>
            <wp:positionV relativeFrom="paragraph">
              <wp:posOffset>316865</wp:posOffset>
            </wp:positionV>
            <wp:extent cx="2409825" cy="7312932"/>
            <wp:effectExtent l="0" t="0" r="0" b="2540"/>
            <wp:wrapNone/>
            <wp:docPr id="206599156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991565" name=""/>
                    <pic:cNvPicPr/>
                  </pic:nvPicPr>
                  <pic:blipFill>
                    <a:blip r:embed="rId9">
                      <a:extLst>
                        <a:ext uri="{28A0092B-C50C-407E-A947-70E740481C1C}">
                          <a14:useLocalDpi xmlns:a14="http://schemas.microsoft.com/office/drawing/2010/main" val="0"/>
                        </a:ext>
                      </a:extLst>
                    </a:blip>
                    <a:stretch>
                      <a:fillRect/>
                    </a:stretch>
                  </pic:blipFill>
                  <pic:spPr>
                    <a:xfrm>
                      <a:off x="0" y="0"/>
                      <a:ext cx="2409825" cy="7312932"/>
                    </a:xfrm>
                    <a:prstGeom prst="rect">
                      <a:avLst/>
                    </a:prstGeom>
                  </pic:spPr>
                </pic:pic>
              </a:graphicData>
            </a:graphic>
            <wp14:sizeRelH relativeFrom="margin">
              <wp14:pctWidth>0</wp14:pctWidth>
            </wp14:sizeRelH>
            <wp14:sizeRelV relativeFrom="margin">
              <wp14:pctHeight>0</wp14:pctHeight>
            </wp14:sizeRelV>
          </wp:anchor>
        </w:drawing>
      </w:r>
      <w:r w:rsidRPr="000245D3">
        <w:rPr>
          <w:sz w:val="24"/>
          <w:szCs w:val="24"/>
        </w:rPr>
        <w:t xml:space="preserve">Mitä alla olevat symbolit tarkoittavat? Tutki näyttelyn maalauksia, ja selvitä symbolien merkitys. </w:t>
      </w:r>
    </w:p>
    <w:p w14:paraId="0012EA65" w14:textId="77777777" w:rsidR="00D715F6" w:rsidRPr="000245D3" w:rsidRDefault="00D715F6" w:rsidP="00D715F6">
      <w:pPr>
        <w:rPr>
          <w:sz w:val="24"/>
          <w:szCs w:val="24"/>
        </w:rPr>
      </w:pPr>
    </w:p>
    <w:p w14:paraId="70B6DC5C" w14:textId="77777777" w:rsidR="00D715F6" w:rsidRPr="000245D3" w:rsidRDefault="00D715F6" w:rsidP="00D715F6">
      <w:pPr>
        <w:rPr>
          <w:sz w:val="24"/>
          <w:szCs w:val="24"/>
        </w:rPr>
      </w:pPr>
    </w:p>
    <w:p w14:paraId="3230B40E" w14:textId="1F340BD8" w:rsidR="00D715F6" w:rsidRPr="000E623E" w:rsidRDefault="00D715F6" w:rsidP="00D715F6">
      <w:pPr>
        <w:rPr>
          <w:color w:val="70AD47" w:themeColor="accent6"/>
          <w:sz w:val="24"/>
          <w:szCs w:val="24"/>
        </w:rPr>
      </w:pPr>
      <w:r w:rsidRPr="000245D3">
        <w:rPr>
          <w:sz w:val="24"/>
          <w:szCs w:val="24"/>
        </w:rPr>
        <w:t>Oma tulkinta</w:t>
      </w:r>
      <w:r w:rsidRPr="000245D3">
        <w:rPr>
          <w:sz w:val="24"/>
          <w:szCs w:val="24"/>
        </w:rPr>
        <w:tab/>
      </w:r>
      <w:r w:rsidRPr="000245D3">
        <w:rPr>
          <w:sz w:val="24"/>
          <w:szCs w:val="24"/>
        </w:rPr>
        <w:tab/>
      </w:r>
      <w:r w:rsidRPr="000245D3">
        <w:rPr>
          <w:sz w:val="24"/>
          <w:szCs w:val="24"/>
        </w:rPr>
        <w:tab/>
      </w:r>
      <w:r w:rsidRPr="000245D3">
        <w:rPr>
          <w:sz w:val="24"/>
          <w:szCs w:val="24"/>
        </w:rPr>
        <w:tab/>
      </w:r>
      <w:r w:rsidR="000245D3">
        <w:rPr>
          <w:sz w:val="24"/>
          <w:szCs w:val="24"/>
        </w:rPr>
        <w:tab/>
      </w:r>
      <w:r w:rsidRPr="000E623E">
        <w:rPr>
          <w:color w:val="70AD47" w:themeColor="accent6"/>
          <w:sz w:val="24"/>
          <w:szCs w:val="24"/>
        </w:rPr>
        <w:t>sisko</w:t>
      </w:r>
    </w:p>
    <w:p w14:paraId="16001155" w14:textId="77777777" w:rsidR="00D715F6" w:rsidRPr="000245D3" w:rsidRDefault="00D715F6" w:rsidP="00D715F6">
      <w:pPr>
        <w:rPr>
          <w:sz w:val="24"/>
          <w:szCs w:val="24"/>
        </w:rPr>
      </w:pPr>
    </w:p>
    <w:p w14:paraId="3F77F0DB" w14:textId="77777777" w:rsidR="00D715F6" w:rsidRPr="000245D3" w:rsidRDefault="00D715F6" w:rsidP="00D715F6">
      <w:pPr>
        <w:rPr>
          <w:sz w:val="24"/>
          <w:szCs w:val="24"/>
        </w:rPr>
      </w:pPr>
    </w:p>
    <w:p w14:paraId="658F395D" w14:textId="2AB7282D" w:rsidR="00D715F6" w:rsidRPr="000245D3" w:rsidRDefault="00D715F6" w:rsidP="00D715F6">
      <w:pPr>
        <w:rPr>
          <w:sz w:val="24"/>
          <w:szCs w:val="24"/>
        </w:rPr>
      </w:pPr>
      <w:r w:rsidRPr="000245D3">
        <w:rPr>
          <w:sz w:val="24"/>
          <w:szCs w:val="24"/>
        </w:rPr>
        <w:tab/>
      </w:r>
      <w:r w:rsidRPr="000245D3">
        <w:rPr>
          <w:sz w:val="24"/>
          <w:szCs w:val="24"/>
        </w:rPr>
        <w:tab/>
      </w:r>
      <w:r w:rsidRPr="000245D3">
        <w:rPr>
          <w:sz w:val="24"/>
          <w:szCs w:val="24"/>
        </w:rPr>
        <w:tab/>
      </w:r>
      <w:r w:rsidRPr="000245D3">
        <w:rPr>
          <w:sz w:val="24"/>
          <w:szCs w:val="24"/>
        </w:rPr>
        <w:tab/>
      </w:r>
      <w:r w:rsidR="000245D3">
        <w:rPr>
          <w:sz w:val="24"/>
          <w:szCs w:val="24"/>
        </w:rPr>
        <w:tab/>
      </w:r>
      <w:r w:rsidRPr="000E623E">
        <w:rPr>
          <w:color w:val="70AD47" w:themeColor="accent6"/>
          <w:sz w:val="24"/>
          <w:szCs w:val="24"/>
        </w:rPr>
        <w:t>vesikuoppa</w:t>
      </w:r>
    </w:p>
    <w:p w14:paraId="71387B08" w14:textId="77777777" w:rsidR="00D715F6" w:rsidRPr="000245D3" w:rsidRDefault="00D715F6" w:rsidP="00D715F6">
      <w:pPr>
        <w:rPr>
          <w:sz w:val="24"/>
          <w:szCs w:val="24"/>
        </w:rPr>
      </w:pPr>
    </w:p>
    <w:p w14:paraId="686BD87C" w14:textId="77777777" w:rsidR="00D715F6" w:rsidRPr="000245D3" w:rsidRDefault="00D715F6" w:rsidP="00D715F6">
      <w:pPr>
        <w:rPr>
          <w:sz w:val="24"/>
          <w:szCs w:val="24"/>
        </w:rPr>
      </w:pPr>
    </w:p>
    <w:p w14:paraId="4B6B4744" w14:textId="4F8CFD7F" w:rsidR="00D715F6" w:rsidRPr="000245D3" w:rsidRDefault="00D715F6" w:rsidP="00D715F6">
      <w:pPr>
        <w:rPr>
          <w:sz w:val="24"/>
          <w:szCs w:val="24"/>
        </w:rPr>
      </w:pPr>
      <w:r w:rsidRPr="000245D3">
        <w:rPr>
          <w:sz w:val="24"/>
          <w:szCs w:val="24"/>
        </w:rPr>
        <w:tab/>
      </w:r>
      <w:r w:rsidRPr="000245D3">
        <w:rPr>
          <w:sz w:val="24"/>
          <w:szCs w:val="24"/>
        </w:rPr>
        <w:tab/>
      </w:r>
      <w:r w:rsidRPr="000245D3">
        <w:rPr>
          <w:sz w:val="24"/>
          <w:szCs w:val="24"/>
        </w:rPr>
        <w:tab/>
      </w:r>
      <w:r w:rsidR="000245D3">
        <w:rPr>
          <w:sz w:val="24"/>
          <w:szCs w:val="24"/>
        </w:rPr>
        <w:tab/>
      </w:r>
      <w:r w:rsidRPr="000E623E">
        <w:rPr>
          <w:color w:val="70AD47" w:themeColor="accent6"/>
          <w:sz w:val="24"/>
          <w:szCs w:val="24"/>
        </w:rPr>
        <w:t>kaivuukeppi</w:t>
      </w:r>
    </w:p>
    <w:p w14:paraId="414EAAEB" w14:textId="77777777" w:rsidR="00D715F6" w:rsidRPr="000245D3" w:rsidRDefault="00D715F6" w:rsidP="00D715F6">
      <w:pPr>
        <w:rPr>
          <w:sz w:val="24"/>
          <w:szCs w:val="24"/>
        </w:rPr>
      </w:pPr>
    </w:p>
    <w:p w14:paraId="4EF1C94E" w14:textId="77777777" w:rsidR="00D715F6" w:rsidRPr="000245D3" w:rsidRDefault="00D715F6" w:rsidP="00D715F6">
      <w:pPr>
        <w:rPr>
          <w:sz w:val="24"/>
          <w:szCs w:val="24"/>
        </w:rPr>
      </w:pPr>
    </w:p>
    <w:p w14:paraId="0C600777" w14:textId="6EE5BEFC" w:rsidR="00D715F6" w:rsidRPr="000245D3" w:rsidRDefault="00D715F6" w:rsidP="00D715F6">
      <w:pPr>
        <w:rPr>
          <w:sz w:val="24"/>
          <w:szCs w:val="24"/>
        </w:rPr>
      </w:pPr>
      <w:r w:rsidRPr="000245D3">
        <w:rPr>
          <w:sz w:val="24"/>
          <w:szCs w:val="24"/>
        </w:rPr>
        <w:tab/>
      </w:r>
      <w:r w:rsidRPr="000245D3">
        <w:rPr>
          <w:sz w:val="24"/>
          <w:szCs w:val="24"/>
        </w:rPr>
        <w:tab/>
      </w:r>
      <w:r w:rsidRPr="000245D3">
        <w:rPr>
          <w:sz w:val="24"/>
          <w:szCs w:val="24"/>
        </w:rPr>
        <w:tab/>
      </w:r>
      <w:r w:rsidRPr="000245D3">
        <w:rPr>
          <w:sz w:val="24"/>
          <w:szCs w:val="24"/>
        </w:rPr>
        <w:tab/>
      </w:r>
      <w:r w:rsidR="000245D3">
        <w:rPr>
          <w:sz w:val="24"/>
          <w:szCs w:val="24"/>
        </w:rPr>
        <w:tab/>
      </w:r>
      <w:r w:rsidRPr="000E623E">
        <w:rPr>
          <w:color w:val="70AD47" w:themeColor="accent6"/>
          <w:sz w:val="24"/>
          <w:szCs w:val="24"/>
        </w:rPr>
        <w:t>siskot puina</w:t>
      </w:r>
    </w:p>
    <w:p w14:paraId="55C8B85A" w14:textId="77777777" w:rsidR="00D715F6" w:rsidRPr="000245D3" w:rsidRDefault="00D715F6" w:rsidP="00D715F6">
      <w:pPr>
        <w:rPr>
          <w:sz w:val="24"/>
          <w:szCs w:val="24"/>
        </w:rPr>
      </w:pPr>
    </w:p>
    <w:p w14:paraId="30E6B86C" w14:textId="77777777" w:rsidR="00D715F6" w:rsidRPr="000245D3" w:rsidRDefault="00D715F6" w:rsidP="00D715F6">
      <w:pPr>
        <w:rPr>
          <w:sz w:val="24"/>
          <w:szCs w:val="24"/>
        </w:rPr>
      </w:pPr>
    </w:p>
    <w:p w14:paraId="63341772" w14:textId="5BA13EB3" w:rsidR="00D715F6" w:rsidRPr="000245D3" w:rsidRDefault="00D715F6" w:rsidP="00D715F6">
      <w:pPr>
        <w:rPr>
          <w:sz w:val="24"/>
          <w:szCs w:val="24"/>
        </w:rPr>
      </w:pPr>
      <w:r w:rsidRPr="000245D3">
        <w:rPr>
          <w:sz w:val="24"/>
          <w:szCs w:val="24"/>
        </w:rPr>
        <w:tab/>
      </w:r>
      <w:r w:rsidRPr="000245D3">
        <w:rPr>
          <w:sz w:val="24"/>
          <w:szCs w:val="24"/>
        </w:rPr>
        <w:tab/>
      </w:r>
      <w:r w:rsidRPr="000245D3">
        <w:rPr>
          <w:sz w:val="24"/>
          <w:szCs w:val="24"/>
        </w:rPr>
        <w:tab/>
      </w:r>
      <w:r w:rsidR="000245D3">
        <w:rPr>
          <w:sz w:val="24"/>
          <w:szCs w:val="24"/>
        </w:rPr>
        <w:tab/>
      </w:r>
      <w:r w:rsidRPr="000E623E">
        <w:rPr>
          <w:color w:val="70AD47" w:themeColor="accent6"/>
          <w:sz w:val="24"/>
          <w:szCs w:val="24"/>
        </w:rPr>
        <w:t>noita jahtaa siskoja</w:t>
      </w:r>
    </w:p>
    <w:p w14:paraId="6BDDC86A" w14:textId="77777777" w:rsidR="00D715F6" w:rsidRPr="000245D3" w:rsidRDefault="00D715F6" w:rsidP="00D715F6">
      <w:pPr>
        <w:rPr>
          <w:sz w:val="24"/>
          <w:szCs w:val="24"/>
        </w:rPr>
      </w:pPr>
    </w:p>
    <w:p w14:paraId="643B7704" w14:textId="77777777" w:rsidR="00D715F6" w:rsidRPr="000245D3" w:rsidRDefault="00D715F6" w:rsidP="00D715F6">
      <w:pPr>
        <w:rPr>
          <w:sz w:val="24"/>
          <w:szCs w:val="24"/>
        </w:rPr>
      </w:pPr>
    </w:p>
    <w:p w14:paraId="292F03F6" w14:textId="45AA1045" w:rsidR="00D715F6" w:rsidRPr="000245D3" w:rsidRDefault="00D715F6" w:rsidP="00D715F6">
      <w:pPr>
        <w:rPr>
          <w:sz w:val="24"/>
          <w:szCs w:val="24"/>
        </w:rPr>
      </w:pPr>
      <w:r w:rsidRPr="000245D3">
        <w:rPr>
          <w:sz w:val="24"/>
          <w:szCs w:val="24"/>
        </w:rPr>
        <w:tab/>
      </w:r>
      <w:r w:rsidRPr="000245D3">
        <w:rPr>
          <w:sz w:val="24"/>
          <w:szCs w:val="24"/>
        </w:rPr>
        <w:tab/>
      </w:r>
      <w:r w:rsidRPr="000245D3">
        <w:rPr>
          <w:sz w:val="24"/>
          <w:szCs w:val="24"/>
        </w:rPr>
        <w:tab/>
      </w:r>
      <w:r w:rsidRPr="000245D3">
        <w:rPr>
          <w:sz w:val="24"/>
          <w:szCs w:val="24"/>
        </w:rPr>
        <w:tab/>
      </w:r>
      <w:r w:rsidR="005462E9">
        <w:rPr>
          <w:sz w:val="24"/>
          <w:szCs w:val="24"/>
        </w:rPr>
        <w:tab/>
      </w:r>
      <w:r w:rsidRPr="000E623E">
        <w:rPr>
          <w:color w:val="70AD47" w:themeColor="accent6"/>
          <w:sz w:val="24"/>
          <w:szCs w:val="24"/>
        </w:rPr>
        <w:t>käärme</w:t>
      </w:r>
    </w:p>
    <w:p w14:paraId="249422C2" w14:textId="77777777" w:rsidR="00D715F6" w:rsidRPr="000245D3" w:rsidRDefault="00D715F6" w:rsidP="00D715F6">
      <w:pPr>
        <w:rPr>
          <w:sz w:val="24"/>
          <w:szCs w:val="24"/>
        </w:rPr>
      </w:pPr>
    </w:p>
    <w:p w14:paraId="20E4DB3A" w14:textId="77777777" w:rsidR="00D715F6" w:rsidRPr="000245D3" w:rsidRDefault="00D715F6" w:rsidP="00D715F6">
      <w:pPr>
        <w:rPr>
          <w:sz w:val="24"/>
          <w:szCs w:val="24"/>
        </w:rPr>
      </w:pPr>
    </w:p>
    <w:p w14:paraId="4A56E7AF" w14:textId="53EF46A6" w:rsidR="00D715F6" w:rsidRPr="003F2D43" w:rsidRDefault="00D715F6" w:rsidP="00D715F6">
      <w:r w:rsidRPr="000245D3">
        <w:rPr>
          <w:sz w:val="24"/>
          <w:szCs w:val="24"/>
        </w:rPr>
        <w:tab/>
      </w:r>
      <w:r w:rsidRPr="000245D3">
        <w:rPr>
          <w:sz w:val="24"/>
          <w:szCs w:val="24"/>
        </w:rPr>
        <w:tab/>
      </w:r>
      <w:r w:rsidRPr="000245D3">
        <w:rPr>
          <w:sz w:val="24"/>
          <w:szCs w:val="24"/>
        </w:rPr>
        <w:tab/>
      </w:r>
      <w:r w:rsidR="000245D3">
        <w:rPr>
          <w:sz w:val="24"/>
          <w:szCs w:val="24"/>
        </w:rPr>
        <w:tab/>
      </w:r>
      <w:r w:rsidRPr="000E623E">
        <w:rPr>
          <w:color w:val="70AD47" w:themeColor="accent6"/>
          <w:sz w:val="24"/>
          <w:szCs w:val="24"/>
        </w:rPr>
        <w:t>tanssiseremonian jäljet</w:t>
      </w:r>
      <w:r w:rsidRPr="000245D3">
        <w:rPr>
          <w:sz w:val="24"/>
          <w:szCs w:val="24"/>
        </w:rPr>
        <w:tab/>
      </w:r>
      <w:r>
        <w:tab/>
      </w:r>
      <w:r>
        <w:tab/>
      </w:r>
    </w:p>
    <w:p w14:paraId="11783D4D" w14:textId="77777777" w:rsidR="00D715F6" w:rsidRPr="003F2D43" w:rsidRDefault="00D715F6" w:rsidP="00D715F6"/>
    <w:p w14:paraId="4682F9A2" w14:textId="7E7E1C86" w:rsidR="002F7F74" w:rsidRDefault="002F7F74" w:rsidP="00B87CCC">
      <w:r w:rsidRPr="00160F4B">
        <w:rPr>
          <w:noProof/>
        </w:rPr>
        <w:lastRenderedPageBreak/>
        <w:drawing>
          <wp:anchor distT="0" distB="0" distL="114300" distR="114300" simplePos="0" relativeHeight="251665408" behindDoc="1" locked="0" layoutInCell="1" allowOverlap="1" wp14:anchorId="47193F02" wp14:editId="003E896D">
            <wp:simplePos x="0" y="0"/>
            <wp:positionH relativeFrom="margin">
              <wp:align>center</wp:align>
            </wp:positionH>
            <wp:positionV relativeFrom="paragraph">
              <wp:posOffset>-718185</wp:posOffset>
            </wp:positionV>
            <wp:extent cx="3448050" cy="1001540"/>
            <wp:effectExtent l="0" t="0" r="0" b="8255"/>
            <wp:wrapNone/>
            <wp:docPr id="219386007"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291291" name=""/>
                    <pic:cNvPicPr/>
                  </pic:nvPicPr>
                  <pic:blipFill>
                    <a:blip r:embed="rId7">
                      <a:extLst>
                        <a:ext uri="{28A0092B-C50C-407E-A947-70E740481C1C}">
                          <a14:useLocalDpi xmlns:a14="http://schemas.microsoft.com/office/drawing/2010/main" val="0"/>
                        </a:ext>
                      </a:extLst>
                    </a:blip>
                    <a:stretch>
                      <a:fillRect/>
                    </a:stretch>
                  </pic:blipFill>
                  <pic:spPr>
                    <a:xfrm>
                      <a:off x="0" y="0"/>
                      <a:ext cx="3448050" cy="1001540"/>
                    </a:xfrm>
                    <a:prstGeom prst="rect">
                      <a:avLst/>
                    </a:prstGeom>
                  </pic:spPr>
                </pic:pic>
              </a:graphicData>
            </a:graphic>
            <wp14:sizeRelH relativeFrom="margin">
              <wp14:pctWidth>0</wp14:pctWidth>
            </wp14:sizeRelH>
            <wp14:sizeRelV relativeFrom="margin">
              <wp14:pctHeight>0</wp14:pctHeight>
            </wp14:sizeRelV>
          </wp:anchor>
        </w:drawing>
      </w:r>
    </w:p>
    <w:p w14:paraId="52D19928" w14:textId="77777777" w:rsidR="002F7F74" w:rsidRDefault="002F7F74" w:rsidP="00B87CCC"/>
    <w:p w14:paraId="0BAFA253" w14:textId="77777777" w:rsidR="000245D3" w:rsidRDefault="000245D3" w:rsidP="002F7F74">
      <w:pPr>
        <w:jc w:val="both"/>
      </w:pPr>
    </w:p>
    <w:p w14:paraId="06EE28F0" w14:textId="1AFAB141" w:rsidR="00CF5D29" w:rsidRPr="00CF5D29" w:rsidRDefault="00F97B2A" w:rsidP="00CF5D29">
      <w:pPr>
        <w:pStyle w:val="Otsikko2"/>
      </w:pPr>
      <w:r w:rsidRPr="00376F0E">
        <w:t>Ensimmäinen näyttelytila (Iso sali)</w:t>
      </w:r>
    </w:p>
    <w:p w14:paraId="3488CE58" w14:textId="132B73DB" w:rsidR="003D5692" w:rsidRPr="006B3C5A" w:rsidRDefault="003D5692" w:rsidP="002F7F74">
      <w:pPr>
        <w:pStyle w:val="Luettelokappale"/>
        <w:numPr>
          <w:ilvl w:val="0"/>
          <w:numId w:val="1"/>
        </w:numPr>
        <w:jc w:val="both"/>
        <w:rPr>
          <w:b/>
          <w:bCs/>
          <w:sz w:val="24"/>
          <w:szCs w:val="24"/>
        </w:rPr>
      </w:pPr>
      <w:r w:rsidRPr="006B3C5A">
        <w:rPr>
          <w:b/>
          <w:bCs/>
          <w:sz w:val="24"/>
          <w:szCs w:val="24"/>
        </w:rPr>
        <w:t>Mikä on uniaika?</w:t>
      </w:r>
    </w:p>
    <w:p w14:paraId="21B18EC1" w14:textId="037613C1" w:rsidR="00C43599" w:rsidRPr="00282E72" w:rsidRDefault="00C61E7E" w:rsidP="002F7F74">
      <w:pPr>
        <w:jc w:val="both"/>
        <w:rPr>
          <w:color w:val="70AD47" w:themeColor="accent6"/>
        </w:rPr>
      </w:pPr>
      <w:r w:rsidRPr="00282E72">
        <w:rPr>
          <w:color w:val="70AD47" w:themeColor="accent6"/>
        </w:rPr>
        <w:t xml:space="preserve">Laulut, tanssit ja seremoniat olivat peräisin </w:t>
      </w:r>
      <w:r w:rsidRPr="00A16829">
        <w:rPr>
          <w:b/>
          <w:bCs/>
          <w:color w:val="70AD47" w:themeColor="accent6"/>
        </w:rPr>
        <w:t>Australian luomiskertomusten aikaisilta eli uniajan esi-isiltä. Uniajalla (</w:t>
      </w:r>
      <w:proofErr w:type="spellStart"/>
      <w:r w:rsidRPr="00A16829">
        <w:rPr>
          <w:b/>
          <w:bCs/>
          <w:color w:val="70AD47" w:themeColor="accent6"/>
        </w:rPr>
        <w:t>Dreaming</w:t>
      </w:r>
      <w:proofErr w:type="spellEnd"/>
      <w:r w:rsidRPr="00A16829">
        <w:rPr>
          <w:b/>
          <w:bCs/>
          <w:color w:val="70AD47" w:themeColor="accent6"/>
        </w:rPr>
        <w:t>) esi-isien henget nousivat maasta ja laskeutuivat taivaasta ihmisen hahmoissa.</w:t>
      </w:r>
      <w:r w:rsidRPr="00282E72">
        <w:rPr>
          <w:color w:val="70AD47" w:themeColor="accent6"/>
        </w:rPr>
        <w:t xml:space="preserve"> Kulkiessaan mantereen halki he loivat luonnon ja ihmisen sekä asettivat lait, tavat ja säännöt ihmisten noudatettaviksi. Aboriginaalien mukaan uniaika jatkuu edelleen, sillä esi-isät elävät kaikessa elollisessa, muun muassa jokaisen ihmisen sisimmässä, ja rituaalit tuovat esi-isät elävien keskelle. Maa ja luonto ovat täynnä symbolisia merkityksiä, ja ympäristö herää eloon, kun aboriginaali kulkee esi-isiensä maa-alueella. Omaan luonnonympäristöön liittyvien uniajan tarinoiden ja perimätiedon eli laululinjojen (</w:t>
      </w:r>
      <w:proofErr w:type="spellStart"/>
      <w:r w:rsidRPr="00282E72">
        <w:rPr>
          <w:color w:val="70AD47" w:themeColor="accent6"/>
        </w:rPr>
        <w:t>songlines</w:t>
      </w:r>
      <w:proofErr w:type="spellEnd"/>
      <w:r w:rsidRPr="00282E72">
        <w:rPr>
          <w:color w:val="70AD47" w:themeColor="accent6"/>
        </w:rPr>
        <w:t xml:space="preserve">) avulla kaikki oppivat ryhmänsä historian, tavat ja lait. Esivanhempien tarinoita kerrotaan laulamalla ja tanssimalla niiden </w:t>
      </w:r>
      <w:proofErr w:type="spellStart"/>
      <w:r w:rsidRPr="00282E72">
        <w:rPr>
          <w:color w:val="70AD47" w:themeColor="accent6"/>
        </w:rPr>
        <w:t>inma</w:t>
      </w:r>
      <w:proofErr w:type="spellEnd"/>
      <w:r w:rsidRPr="00282E72">
        <w:rPr>
          <w:color w:val="70AD47" w:themeColor="accent6"/>
        </w:rPr>
        <w:t>-seremonia.</w:t>
      </w:r>
    </w:p>
    <w:p w14:paraId="4F1AA0CD" w14:textId="5BD2F56B" w:rsidR="00C43599" w:rsidRPr="006B3C5A" w:rsidRDefault="00C43599" w:rsidP="00C43599">
      <w:pPr>
        <w:pStyle w:val="Luettelokappale"/>
        <w:numPr>
          <w:ilvl w:val="0"/>
          <w:numId w:val="1"/>
        </w:numPr>
        <w:jc w:val="both"/>
        <w:rPr>
          <w:b/>
          <w:bCs/>
          <w:sz w:val="24"/>
          <w:szCs w:val="24"/>
        </w:rPr>
      </w:pPr>
      <w:r w:rsidRPr="006B3C5A">
        <w:rPr>
          <w:b/>
          <w:bCs/>
          <w:sz w:val="24"/>
          <w:szCs w:val="24"/>
        </w:rPr>
        <w:t>Australian aboriginaalien sanotaan olevan maailman vanhin elävä kulttuuri. Kuinka vanha sen arvellaan olevan?</w:t>
      </w:r>
    </w:p>
    <w:p w14:paraId="62001FEA" w14:textId="6ED1DDE5" w:rsidR="00C43599" w:rsidRPr="00282E72" w:rsidRDefault="008F3B96" w:rsidP="00B3604F">
      <w:pPr>
        <w:jc w:val="both"/>
        <w:rPr>
          <w:color w:val="70AD47" w:themeColor="accent6"/>
        </w:rPr>
      </w:pPr>
      <w:r w:rsidRPr="00282E72">
        <w:rPr>
          <w:color w:val="70AD47" w:themeColor="accent6"/>
        </w:rPr>
        <w:t>Aboriginaalien omaleimainen kulttuuri on maailman vanhin elävä kulttuuri.</w:t>
      </w:r>
      <w:r w:rsidR="00B3604F" w:rsidRPr="00282E72">
        <w:rPr>
          <w:color w:val="70AD47" w:themeColor="accent6"/>
        </w:rPr>
        <w:t xml:space="preserve"> Ensimmäiset australialaiset saapuivat Australian mantereelle Kaakkois-Aasiasta </w:t>
      </w:r>
      <w:r w:rsidR="00B3604F" w:rsidRPr="00A16829">
        <w:rPr>
          <w:b/>
          <w:bCs/>
          <w:color w:val="70AD47" w:themeColor="accent6"/>
        </w:rPr>
        <w:t>yli 60 000 vuotta</w:t>
      </w:r>
      <w:r w:rsidR="00B3604F" w:rsidRPr="00282E72">
        <w:rPr>
          <w:color w:val="70AD47" w:themeColor="accent6"/>
        </w:rPr>
        <w:t xml:space="preserve"> sitten.</w:t>
      </w:r>
    </w:p>
    <w:p w14:paraId="0FC10A0F" w14:textId="38FC29E1" w:rsidR="000245D3" w:rsidRPr="006B3C5A" w:rsidRDefault="000245D3" w:rsidP="000245D3">
      <w:pPr>
        <w:pStyle w:val="Luettelokappale"/>
        <w:numPr>
          <w:ilvl w:val="0"/>
          <w:numId w:val="1"/>
        </w:numPr>
        <w:jc w:val="both"/>
        <w:rPr>
          <w:b/>
          <w:bCs/>
          <w:sz w:val="24"/>
          <w:szCs w:val="24"/>
        </w:rPr>
      </w:pPr>
      <w:r w:rsidRPr="006B3C5A">
        <w:rPr>
          <w:b/>
          <w:bCs/>
          <w:sz w:val="24"/>
          <w:szCs w:val="24"/>
        </w:rPr>
        <w:t>Vaikka alkuperäisväestöä kohdeltiin 1900-luvun puoliväliin asti varsin huonosti, on heidän merkityksensä tunnustettu viimeisten vuosikymmenien aikana. Kuinka paljon aboriginaaleja nykyään on, ja millaisia oikeudellisia asemia laululinjoilla on?</w:t>
      </w:r>
    </w:p>
    <w:p w14:paraId="0B8F4EB9" w14:textId="7B3BB861" w:rsidR="00A16829" w:rsidRPr="00A16829" w:rsidRDefault="000245D3" w:rsidP="00B3604F">
      <w:pPr>
        <w:jc w:val="both"/>
        <w:rPr>
          <w:color w:val="70AD47" w:themeColor="accent6"/>
        </w:rPr>
      </w:pPr>
      <w:r w:rsidRPr="00282E72">
        <w:rPr>
          <w:color w:val="70AD47" w:themeColor="accent6"/>
        </w:rPr>
        <w:t xml:space="preserve">Alkuperäisväestöön kuuluvia australialaisia on nykyisin </w:t>
      </w:r>
      <w:r w:rsidRPr="00A16829">
        <w:rPr>
          <w:b/>
          <w:bCs/>
          <w:color w:val="70AD47" w:themeColor="accent6"/>
        </w:rPr>
        <w:t>yli 800 000, noin3,2 prosenttia väestöstä</w:t>
      </w:r>
      <w:r w:rsidRPr="00282E72">
        <w:rPr>
          <w:color w:val="70AD47" w:themeColor="accent6"/>
        </w:rPr>
        <w:t xml:space="preserve">, ja heidän osuutensa kasvaa voimakkaasti. Taistelu kulttuurin elpymiseksi ja alkuperäisväestön erityisaseman tunnustamiseksi on kuitenkin ollut hidasta. </w:t>
      </w:r>
      <w:r w:rsidRPr="008A1457">
        <w:rPr>
          <w:b/>
          <w:bCs/>
          <w:color w:val="70AD47" w:themeColor="accent6"/>
        </w:rPr>
        <w:t>Noin 40 prosenttia Australian maa-alasta on lainsäädännön tai tuomioistuinten käsittelyn kautta nykyisin tunnustettu aboriginaalien maaksi</w:t>
      </w:r>
      <w:r w:rsidRPr="00282E72">
        <w:rPr>
          <w:color w:val="70AD47" w:themeColor="accent6"/>
        </w:rPr>
        <w:t xml:space="preserve">, mutta aboriginaalikansojen maaoikeudet ovat usein rajallisia. Perinteiset maankäyttöalueiden rajat määräytyvät laululinjojen mukaan. </w:t>
      </w:r>
      <w:r w:rsidRPr="008A1457">
        <w:rPr>
          <w:b/>
          <w:bCs/>
          <w:color w:val="70AD47" w:themeColor="accent6"/>
        </w:rPr>
        <w:t>Laululinjat tunnustettiin Australian liittovaltion tuomioistuimessa alkuperäiskansojen laeiksi, ja niille annettiin oikeudellinen asema vuonna 2005</w:t>
      </w:r>
      <w:r w:rsidRPr="00282E72">
        <w:rPr>
          <w:color w:val="70AD47" w:themeColor="accent6"/>
        </w:rPr>
        <w:t xml:space="preserve">, kun tässä näyttelyssä mukana oleva </w:t>
      </w:r>
      <w:proofErr w:type="spellStart"/>
      <w:r w:rsidRPr="00282E72">
        <w:rPr>
          <w:color w:val="70AD47" w:themeColor="accent6"/>
        </w:rPr>
        <w:t>Ngaanyatjarra</w:t>
      </w:r>
      <w:proofErr w:type="spellEnd"/>
      <w:r w:rsidRPr="00282E72">
        <w:rPr>
          <w:color w:val="70AD47" w:themeColor="accent6"/>
        </w:rPr>
        <w:t>-kansa vaati menestyksekkäästi yli 180 000 neliökilometrin suuruista aluetta itselleen.</w:t>
      </w:r>
    </w:p>
    <w:p w14:paraId="31BBBE5D" w14:textId="77777777" w:rsidR="0078426E" w:rsidRDefault="00E94DCD" w:rsidP="00376F0E">
      <w:pPr>
        <w:pStyle w:val="Luettelokappale"/>
        <w:numPr>
          <w:ilvl w:val="0"/>
          <w:numId w:val="1"/>
        </w:numPr>
        <w:jc w:val="both"/>
        <w:rPr>
          <w:b/>
          <w:bCs/>
          <w:sz w:val="24"/>
          <w:szCs w:val="24"/>
        </w:rPr>
      </w:pPr>
      <w:r w:rsidRPr="006B3C5A">
        <w:rPr>
          <w:b/>
          <w:bCs/>
          <w:sz w:val="24"/>
          <w:szCs w:val="24"/>
        </w:rPr>
        <w:t xml:space="preserve">Mihin </w:t>
      </w:r>
      <w:proofErr w:type="spellStart"/>
      <w:r w:rsidRPr="006B3C5A">
        <w:rPr>
          <w:b/>
          <w:bCs/>
          <w:sz w:val="24"/>
          <w:szCs w:val="24"/>
        </w:rPr>
        <w:t>coolamon</w:t>
      </w:r>
      <w:proofErr w:type="spellEnd"/>
      <w:r w:rsidRPr="006B3C5A">
        <w:rPr>
          <w:b/>
          <w:bCs/>
          <w:sz w:val="24"/>
          <w:szCs w:val="24"/>
        </w:rPr>
        <w:t>-astioita voi käyttää?</w:t>
      </w:r>
    </w:p>
    <w:p w14:paraId="51FF8F9B" w14:textId="77777777" w:rsidR="0078426E" w:rsidRDefault="002F7F74" w:rsidP="0078426E">
      <w:pPr>
        <w:pStyle w:val="Luettelokappale"/>
        <w:jc w:val="both"/>
        <w:rPr>
          <w:color w:val="70AD47" w:themeColor="accent6"/>
        </w:rPr>
      </w:pPr>
      <w:r w:rsidRPr="00282E72">
        <w:rPr>
          <w:noProof/>
        </w:rPr>
        <w:drawing>
          <wp:anchor distT="0" distB="0" distL="114300" distR="114300" simplePos="0" relativeHeight="251663360" behindDoc="1" locked="0" layoutInCell="1" allowOverlap="1" wp14:anchorId="2DFA37CD" wp14:editId="6198C3D9">
            <wp:simplePos x="0" y="0"/>
            <wp:positionH relativeFrom="margin">
              <wp:posOffset>4548505</wp:posOffset>
            </wp:positionH>
            <wp:positionV relativeFrom="paragraph">
              <wp:posOffset>0</wp:posOffset>
            </wp:positionV>
            <wp:extent cx="1514475" cy="2257425"/>
            <wp:effectExtent l="0" t="0" r="9525" b="9525"/>
            <wp:wrapTight wrapText="bothSides">
              <wp:wrapPolygon edited="0">
                <wp:start x="0" y="0"/>
                <wp:lineTo x="0" y="21509"/>
                <wp:lineTo x="21464" y="21509"/>
                <wp:lineTo x="21464" y="0"/>
                <wp:lineTo x="0" y="0"/>
              </wp:wrapPolygon>
            </wp:wrapTight>
            <wp:docPr id="152363901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39015" name=""/>
                    <pic:cNvPicPr/>
                  </pic:nvPicPr>
                  <pic:blipFill>
                    <a:blip r:embed="rId10">
                      <a:extLst>
                        <a:ext uri="{28A0092B-C50C-407E-A947-70E740481C1C}">
                          <a14:useLocalDpi xmlns:a14="http://schemas.microsoft.com/office/drawing/2010/main" val="0"/>
                        </a:ext>
                      </a:extLst>
                    </a:blip>
                    <a:stretch>
                      <a:fillRect/>
                    </a:stretch>
                  </pic:blipFill>
                  <pic:spPr>
                    <a:xfrm>
                      <a:off x="0" y="0"/>
                      <a:ext cx="1514475" cy="2257425"/>
                    </a:xfrm>
                    <a:prstGeom prst="rect">
                      <a:avLst/>
                    </a:prstGeom>
                  </pic:spPr>
                </pic:pic>
              </a:graphicData>
            </a:graphic>
          </wp:anchor>
        </w:drawing>
      </w:r>
    </w:p>
    <w:p w14:paraId="7BFC858B" w14:textId="6BA27215" w:rsidR="00F47F1A" w:rsidRPr="0078426E" w:rsidRDefault="00F47F1A" w:rsidP="0078426E">
      <w:pPr>
        <w:jc w:val="both"/>
        <w:rPr>
          <w:b/>
          <w:bCs/>
          <w:sz w:val="24"/>
          <w:szCs w:val="24"/>
        </w:rPr>
      </w:pPr>
      <w:r w:rsidRPr="0078426E">
        <w:rPr>
          <w:color w:val="70AD47" w:themeColor="accent6"/>
        </w:rPr>
        <w:t xml:space="preserve">Esimerkiksi siementen </w:t>
      </w:r>
      <w:r w:rsidR="00A86613" w:rsidRPr="0078426E">
        <w:rPr>
          <w:color w:val="70AD47" w:themeColor="accent6"/>
        </w:rPr>
        <w:t xml:space="preserve">käsittelyyn, veden tai vaikkapa lasten kantamiseen. </w:t>
      </w:r>
    </w:p>
    <w:p w14:paraId="5699FA5B" w14:textId="77777777" w:rsidR="00A23646" w:rsidRPr="006B3C5A" w:rsidRDefault="00E65ECF" w:rsidP="002F7F74">
      <w:pPr>
        <w:pStyle w:val="Luettelokappale"/>
        <w:numPr>
          <w:ilvl w:val="0"/>
          <w:numId w:val="1"/>
        </w:numPr>
        <w:jc w:val="both"/>
        <w:rPr>
          <w:b/>
          <w:bCs/>
          <w:sz w:val="24"/>
          <w:szCs w:val="24"/>
        </w:rPr>
      </w:pPr>
      <w:r w:rsidRPr="006B3C5A">
        <w:rPr>
          <w:b/>
          <w:bCs/>
          <w:sz w:val="24"/>
          <w:szCs w:val="24"/>
        </w:rPr>
        <w:t xml:space="preserve">Etsi oheinen maalaus. Mitä sisarille tapahtui </w:t>
      </w:r>
      <w:proofErr w:type="spellStart"/>
      <w:r w:rsidRPr="006B3C5A">
        <w:rPr>
          <w:b/>
          <w:bCs/>
          <w:sz w:val="24"/>
          <w:szCs w:val="24"/>
        </w:rPr>
        <w:t>Kalypassa</w:t>
      </w:r>
      <w:proofErr w:type="spellEnd"/>
      <w:r w:rsidRPr="006B3C5A">
        <w:rPr>
          <w:b/>
          <w:bCs/>
          <w:sz w:val="24"/>
          <w:szCs w:val="24"/>
        </w:rPr>
        <w:t>?</w:t>
      </w:r>
    </w:p>
    <w:p w14:paraId="539CA28B" w14:textId="7ECE9794" w:rsidR="00E65ECF" w:rsidRPr="00A23646" w:rsidRDefault="00AD167E" w:rsidP="00A23646">
      <w:pPr>
        <w:jc w:val="both"/>
        <w:rPr>
          <w:b/>
          <w:bCs/>
        </w:rPr>
      </w:pPr>
      <w:r w:rsidRPr="00282E72">
        <w:rPr>
          <w:color w:val="70AD47" w:themeColor="accent6"/>
        </w:rPr>
        <w:t>Sisaret kohtasivat heitä himoinneen miesryhmän ja antoivat heille selkäsaunan</w:t>
      </w:r>
      <w:r>
        <w:t xml:space="preserve">. </w:t>
      </w:r>
    </w:p>
    <w:p w14:paraId="428C817E" w14:textId="77777777" w:rsidR="002F7F74" w:rsidRDefault="002F7F74" w:rsidP="002F7F74">
      <w:pPr>
        <w:jc w:val="both"/>
      </w:pPr>
    </w:p>
    <w:p w14:paraId="179AAE43" w14:textId="77777777" w:rsidR="0078426E" w:rsidRDefault="0078426E" w:rsidP="002F7F74">
      <w:pPr>
        <w:jc w:val="both"/>
      </w:pPr>
    </w:p>
    <w:p w14:paraId="612E7608" w14:textId="77777777" w:rsidR="0078426E" w:rsidRDefault="0078426E" w:rsidP="002F7F74">
      <w:pPr>
        <w:jc w:val="both"/>
      </w:pPr>
    </w:p>
    <w:p w14:paraId="25D572CE" w14:textId="22F6F231" w:rsidR="004C739E" w:rsidRDefault="00375C2D" w:rsidP="000245D3">
      <w:pPr>
        <w:pStyle w:val="Otsikko2"/>
      </w:pPr>
      <w:r w:rsidRPr="00376F0E">
        <w:lastRenderedPageBreak/>
        <w:t>Toinen näyttelytila (Kanavasali)</w:t>
      </w:r>
    </w:p>
    <w:p w14:paraId="2A6FC3D9" w14:textId="77777777" w:rsidR="00CF5D29" w:rsidRPr="00CF5D29" w:rsidRDefault="00CF5D29" w:rsidP="00CF5D29"/>
    <w:p w14:paraId="4A4DAFBE" w14:textId="2527DF0B" w:rsidR="004C739E" w:rsidRPr="006B3C5A" w:rsidRDefault="00301770" w:rsidP="000245D3">
      <w:pPr>
        <w:pStyle w:val="Luettelokappale"/>
        <w:numPr>
          <w:ilvl w:val="0"/>
          <w:numId w:val="1"/>
        </w:numPr>
        <w:jc w:val="both"/>
        <w:rPr>
          <w:b/>
          <w:bCs/>
          <w:sz w:val="24"/>
          <w:szCs w:val="24"/>
        </w:rPr>
      </w:pPr>
      <w:r w:rsidRPr="006B3C5A">
        <w:rPr>
          <w:b/>
          <w:bCs/>
          <w:sz w:val="24"/>
          <w:szCs w:val="24"/>
        </w:rPr>
        <w:t xml:space="preserve">Miksi </w:t>
      </w:r>
      <w:proofErr w:type="spellStart"/>
      <w:r w:rsidRPr="006B3C5A">
        <w:rPr>
          <w:b/>
          <w:bCs/>
          <w:sz w:val="24"/>
          <w:szCs w:val="24"/>
        </w:rPr>
        <w:t>Walinynga</w:t>
      </w:r>
      <w:proofErr w:type="spellEnd"/>
      <w:r w:rsidRPr="006B3C5A">
        <w:rPr>
          <w:b/>
          <w:bCs/>
          <w:sz w:val="24"/>
          <w:szCs w:val="24"/>
        </w:rPr>
        <w:t>/</w:t>
      </w:r>
      <w:proofErr w:type="spellStart"/>
      <w:r w:rsidRPr="006B3C5A">
        <w:rPr>
          <w:b/>
          <w:bCs/>
          <w:sz w:val="24"/>
          <w:szCs w:val="24"/>
        </w:rPr>
        <w:t>Cave</w:t>
      </w:r>
      <w:proofErr w:type="spellEnd"/>
      <w:r w:rsidRPr="006B3C5A">
        <w:rPr>
          <w:b/>
          <w:bCs/>
          <w:sz w:val="24"/>
          <w:szCs w:val="24"/>
        </w:rPr>
        <w:t xml:space="preserve"> Hill on tärkeä paikka?</w:t>
      </w:r>
    </w:p>
    <w:p w14:paraId="12DD41AF" w14:textId="3A457E33" w:rsidR="00301770" w:rsidRPr="00282E72" w:rsidRDefault="00077FA0" w:rsidP="002F7F74">
      <w:pPr>
        <w:jc w:val="both"/>
        <w:rPr>
          <w:color w:val="70AD47" w:themeColor="accent6"/>
        </w:rPr>
      </w:pPr>
      <w:proofErr w:type="spellStart"/>
      <w:r w:rsidRPr="00282E72">
        <w:rPr>
          <w:color w:val="70AD47" w:themeColor="accent6"/>
        </w:rPr>
        <w:t>Walinynga</w:t>
      </w:r>
      <w:proofErr w:type="spellEnd"/>
      <w:r w:rsidRPr="00282E72">
        <w:rPr>
          <w:color w:val="70AD47" w:themeColor="accent6"/>
        </w:rPr>
        <w:t xml:space="preserve">, joka tunnetaan myös nimellä </w:t>
      </w:r>
      <w:proofErr w:type="spellStart"/>
      <w:r w:rsidRPr="00282E72">
        <w:rPr>
          <w:color w:val="70AD47" w:themeColor="accent6"/>
        </w:rPr>
        <w:t>Cave</w:t>
      </w:r>
      <w:proofErr w:type="spellEnd"/>
      <w:r w:rsidRPr="00282E72">
        <w:rPr>
          <w:color w:val="70AD47" w:themeColor="accent6"/>
        </w:rPr>
        <w:t xml:space="preserve"> Hill, sijaitsee Etelä-Australiassa, sen kolmen osavaltion rajan Pohjois-Territorion ja Länsi-Australian alapuolella. </w:t>
      </w:r>
      <w:r w:rsidRPr="008A1457">
        <w:rPr>
          <w:b/>
          <w:bCs/>
          <w:color w:val="70AD47" w:themeColor="accent6"/>
        </w:rPr>
        <w:t>Se on laajin seitsemään sisareen liittyvistä kalliotaidekohteista</w:t>
      </w:r>
      <w:r w:rsidRPr="00282E72">
        <w:rPr>
          <w:color w:val="70AD47" w:themeColor="accent6"/>
        </w:rPr>
        <w:t xml:space="preserve">, ja sen maalausten arvioidaan olevan jopa 3 400 vuotta vanhoja. </w:t>
      </w:r>
      <w:r w:rsidR="00844E99" w:rsidRPr="00282E72">
        <w:rPr>
          <w:color w:val="70AD47" w:themeColor="accent6"/>
        </w:rPr>
        <w:t xml:space="preserve">Täällä </w:t>
      </w:r>
      <w:r w:rsidR="00844E99" w:rsidRPr="008A1457">
        <w:rPr>
          <w:b/>
          <w:bCs/>
          <w:color w:val="70AD47" w:themeColor="accent6"/>
        </w:rPr>
        <w:t>noita koki</w:t>
      </w:r>
      <w:r w:rsidR="008A1457">
        <w:rPr>
          <w:b/>
          <w:bCs/>
          <w:color w:val="70AD47" w:themeColor="accent6"/>
        </w:rPr>
        <w:t xml:space="preserve"> </w:t>
      </w:r>
      <w:r w:rsidR="00844E99" w:rsidRPr="008A1457">
        <w:rPr>
          <w:b/>
          <w:bCs/>
          <w:color w:val="70AD47" w:themeColor="accent6"/>
        </w:rPr>
        <w:t>itseymmärryksen hetken:</w:t>
      </w:r>
      <w:r w:rsidR="00844E99" w:rsidRPr="00282E72">
        <w:rPr>
          <w:color w:val="70AD47" w:themeColor="accent6"/>
        </w:rPr>
        <w:t xml:space="preserve"> hän huomasi kauhistuneena, ettei hän ollutkaan tavallinen ihminen vaan noita. Nyt hän ymmärsi, miksi sisaret pakenivat häntä.</w:t>
      </w:r>
    </w:p>
    <w:p w14:paraId="6F797C36" w14:textId="0365E05C" w:rsidR="009772DD" w:rsidRPr="006B3C5A" w:rsidRDefault="004964DA" w:rsidP="000245D3">
      <w:pPr>
        <w:pStyle w:val="Luettelokappale"/>
        <w:numPr>
          <w:ilvl w:val="0"/>
          <w:numId w:val="1"/>
        </w:numPr>
        <w:jc w:val="both"/>
        <w:rPr>
          <w:b/>
          <w:bCs/>
          <w:sz w:val="24"/>
          <w:szCs w:val="24"/>
        </w:rPr>
      </w:pPr>
      <w:r w:rsidRPr="006B3C5A">
        <w:rPr>
          <w:b/>
          <w:bCs/>
          <w:sz w:val="24"/>
          <w:szCs w:val="24"/>
        </w:rPr>
        <w:t xml:space="preserve">Sinisessä huoneessa pääset tutustumaan </w:t>
      </w:r>
      <w:proofErr w:type="spellStart"/>
      <w:r w:rsidR="009772DD" w:rsidRPr="006B3C5A">
        <w:rPr>
          <w:b/>
          <w:bCs/>
          <w:i/>
          <w:iCs/>
          <w:sz w:val="24"/>
          <w:szCs w:val="24"/>
        </w:rPr>
        <w:t>Kungkarangkalpa</w:t>
      </w:r>
      <w:proofErr w:type="spellEnd"/>
      <w:r w:rsidR="009772DD" w:rsidRPr="006B3C5A">
        <w:rPr>
          <w:b/>
          <w:bCs/>
          <w:i/>
          <w:iCs/>
          <w:sz w:val="24"/>
          <w:szCs w:val="24"/>
        </w:rPr>
        <w:t xml:space="preserve"> Seitsemän sisarta</w:t>
      </w:r>
      <w:r w:rsidR="009772DD" w:rsidRPr="006B3C5A">
        <w:rPr>
          <w:b/>
          <w:bCs/>
          <w:sz w:val="24"/>
          <w:szCs w:val="24"/>
        </w:rPr>
        <w:t xml:space="preserve"> -keramiikka</w:t>
      </w:r>
      <w:r w:rsidRPr="006B3C5A">
        <w:rPr>
          <w:b/>
          <w:bCs/>
          <w:sz w:val="24"/>
          <w:szCs w:val="24"/>
        </w:rPr>
        <w:t>an (</w:t>
      </w:r>
      <w:r w:rsidR="009772DD" w:rsidRPr="006B3C5A">
        <w:rPr>
          <w:b/>
          <w:bCs/>
          <w:sz w:val="24"/>
          <w:szCs w:val="24"/>
        </w:rPr>
        <w:t>2016</w:t>
      </w:r>
      <w:r w:rsidRPr="006B3C5A">
        <w:rPr>
          <w:b/>
          <w:bCs/>
          <w:sz w:val="24"/>
          <w:szCs w:val="24"/>
        </w:rPr>
        <w:t xml:space="preserve">). Kansanvanhimmat huolestuivat, kun nuoret </w:t>
      </w:r>
      <w:r w:rsidR="008F6496" w:rsidRPr="006B3C5A">
        <w:rPr>
          <w:b/>
          <w:bCs/>
          <w:sz w:val="24"/>
          <w:szCs w:val="24"/>
        </w:rPr>
        <w:t xml:space="preserve">eivät enää tunteneet </w:t>
      </w:r>
      <w:r w:rsidR="007F43C5" w:rsidRPr="006B3C5A">
        <w:rPr>
          <w:b/>
          <w:bCs/>
          <w:sz w:val="24"/>
          <w:szCs w:val="24"/>
        </w:rPr>
        <w:t xml:space="preserve">paikallisten kasvien ja eläinten oikeita nimiä. </w:t>
      </w:r>
      <w:r w:rsidR="008173CA" w:rsidRPr="006B3C5A">
        <w:rPr>
          <w:b/>
          <w:bCs/>
          <w:sz w:val="24"/>
          <w:szCs w:val="24"/>
        </w:rPr>
        <w:t xml:space="preserve">Seitsemän naista teki nämä seitsemän astiaa. </w:t>
      </w:r>
      <w:r w:rsidR="005C044A" w:rsidRPr="006B3C5A">
        <w:rPr>
          <w:b/>
          <w:bCs/>
          <w:sz w:val="24"/>
          <w:szCs w:val="24"/>
        </w:rPr>
        <w:t>Mitä ne edustavat?</w:t>
      </w:r>
    </w:p>
    <w:p w14:paraId="5EB19F2A" w14:textId="0B759298" w:rsidR="00754161" w:rsidRPr="00282E72" w:rsidRDefault="005C044A" w:rsidP="002F7F74">
      <w:pPr>
        <w:jc w:val="both"/>
        <w:rPr>
          <w:color w:val="70AD47" w:themeColor="accent6"/>
        </w:rPr>
      </w:pPr>
      <w:r w:rsidRPr="00282E72">
        <w:rPr>
          <w:color w:val="70AD47" w:themeColor="accent6"/>
        </w:rPr>
        <w:t xml:space="preserve">Ne edustavat sekä </w:t>
      </w:r>
      <w:r w:rsidRPr="008A1457">
        <w:rPr>
          <w:b/>
          <w:bCs/>
          <w:color w:val="70AD47" w:themeColor="accent6"/>
        </w:rPr>
        <w:t>seitsemää sisarta että pensaston ruokia</w:t>
      </w:r>
      <w:r w:rsidRPr="00282E72">
        <w:rPr>
          <w:color w:val="70AD47" w:themeColor="accent6"/>
        </w:rPr>
        <w:t xml:space="preserve">, joiksi </w:t>
      </w:r>
      <w:proofErr w:type="spellStart"/>
      <w:r w:rsidRPr="00282E72">
        <w:rPr>
          <w:color w:val="70AD47" w:themeColor="accent6"/>
        </w:rPr>
        <w:t>Wati</w:t>
      </w:r>
      <w:proofErr w:type="spellEnd"/>
      <w:r w:rsidRPr="00282E72">
        <w:rPr>
          <w:color w:val="70AD47" w:themeColor="accent6"/>
        </w:rPr>
        <w:t xml:space="preserve"> </w:t>
      </w:r>
      <w:proofErr w:type="spellStart"/>
      <w:r w:rsidRPr="00282E72">
        <w:rPr>
          <w:color w:val="70AD47" w:themeColor="accent6"/>
        </w:rPr>
        <w:t>Nyiru</w:t>
      </w:r>
      <w:proofErr w:type="spellEnd"/>
      <w:r w:rsidRPr="00282E72">
        <w:rPr>
          <w:color w:val="70AD47" w:themeColor="accent6"/>
        </w:rPr>
        <w:t xml:space="preserve"> muuttui yrittäessään vietellä sisaret </w:t>
      </w:r>
      <w:proofErr w:type="spellStart"/>
      <w:r w:rsidRPr="00282E72">
        <w:rPr>
          <w:color w:val="70AD47" w:themeColor="accent6"/>
        </w:rPr>
        <w:t>Anirin</w:t>
      </w:r>
      <w:proofErr w:type="spellEnd"/>
      <w:r w:rsidRPr="00282E72">
        <w:rPr>
          <w:color w:val="70AD47" w:themeColor="accent6"/>
        </w:rPr>
        <w:t xml:space="preserve"> savitasangolla: </w:t>
      </w:r>
      <w:proofErr w:type="spellStart"/>
      <w:r w:rsidRPr="00282E72">
        <w:rPr>
          <w:i/>
          <w:iCs/>
          <w:color w:val="70AD47" w:themeColor="accent6"/>
        </w:rPr>
        <w:t>tjala</w:t>
      </w:r>
      <w:proofErr w:type="spellEnd"/>
      <w:r w:rsidRPr="00282E72">
        <w:rPr>
          <w:color w:val="70AD47" w:themeColor="accent6"/>
        </w:rPr>
        <w:t xml:space="preserve"> (hunajamuurahaiset), </w:t>
      </w:r>
      <w:r w:rsidRPr="00282E72">
        <w:rPr>
          <w:i/>
          <w:iCs/>
          <w:color w:val="70AD47" w:themeColor="accent6"/>
        </w:rPr>
        <w:t>maku</w:t>
      </w:r>
      <w:r w:rsidRPr="00282E72">
        <w:rPr>
          <w:color w:val="70AD47" w:themeColor="accent6"/>
        </w:rPr>
        <w:t xml:space="preserve"> (</w:t>
      </w:r>
      <w:r w:rsidR="00F54AD1" w:rsidRPr="00282E72">
        <w:rPr>
          <w:color w:val="70AD47" w:themeColor="accent6"/>
        </w:rPr>
        <w:t>toukat</w:t>
      </w:r>
      <w:r w:rsidRPr="00282E72">
        <w:rPr>
          <w:color w:val="70AD47" w:themeColor="accent6"/>
        </w:rPr>
        <w:t xml:space="preserve">), </w:t>
      </w:r>
      <w:proofErr w:type="spellStart"/>
      <w:r w:rsidRPr="00282E72">
        <w:rPr>
          <w:i/>
          <w:iCs/>
          <w:color w:val="70AD47" w:themeColor="accent6"/>
        </w:rPr>
        <w:t>wayanu</w:t>
      </w:r>
      <w:proofErr w:type="spellEnd"/>
      <w:r w:rsidRPr="00282E72">
        <w:rPr>
          <w:color w:val="70AD47" w:themeColor="accent6"/>
        </w:rPr>
        <w:t xml:space="preserve"> (</w:t>
      </w:r>
      <w:proofErr w:type="spellStart"/>
      <w:r w:rsidR="00F54AD1" w:rsidRPr="00282E72">
        <w:rPr>
          <w:color w:val="70AD47" w:themeColor="accent6"/>
        </w:rPr>
        <w:t>quandon</w:t>
      </w:r>
      <w:r w:rsidR="003630FB" w:rsidRPr="00282E72">
        <w:rPr>
          <w:color w:val="70AD47" w:themeColor="accent6"/>
        </w:rPr>
        <w:t>q</w:t>
      </w:r>
      <w:proofErr w:type="spellEnd"/>
      <w:r w:rsidR="003630FB" w:rsidRPr="00282E72">
        <w:rPr>
          <w:color w:val="70AD47" w:themeColor="accent6"/>
        </w:rPr>
        <w:t>),</w:t>
      </w:r>
      <w:r w:rsidRPr="00282E72">
        <w:rPr>
          <w:color w:val="70AD47" w:themeColor="accent6"/>
        </w:rPr>
        <w:t xml:space="preserve"> </w:t>
      </w:r>
      <w:proofErr w:type="spellStart"/>
      <w:r w:rsidRPr="00282E72">
        <w:rPr>
          <w:i/>
          <w:iCs/>
          <w:color w:val="70AD47" w:themeColor="accent6"/>
        </w:rPr>
        <w:t>ili</w:t>
      </w:r>
      <w:proofErr w:type="spellEnd"/>
      <w:r w:rsidRPr="00282E72">
        <w:rPr>
          <w:i/>
          <w:iCs/>
          <w:color w:val="70AD47" w:themeColor="accent6"/>
        </w:rPr>
        <w:t xml:space="preserve"> </w:t>
      </w:r>
      <w:r w:rsidRPr="00282E72">
        <w:rPr>
          <w:color w:val="70AD47" w:themeColor="accent6"/>
        </w:rPr>
        <w:t xml:space="preserve">(viikuna), </w:t>
      </w:r>
      <w:proofErr w:type="spellStart"/>
      <w:r w:rsidRPr="00282E72">
        <w:rPr>
          <w:i/>
          <w:iCs/>
          <w:color w:val="70AD47" w:themeColor="accent6"/>
        </w:rPr>
        <w:t>kampurarpa</w:t>
      </w:r>
      <w:proofErr w:type="spellEnd"/>
      <w:r w:rsidRPr="00282E72">
        <w:rPr>
          <w:i/>
          <w:iCs/>
          <w:color w:val="70AD47" w:themeColor="accent6"/>
        </w:rPr>
        <w:t xml:space="preserve"> </w:t>
      </w:r>
      <w:r w:rsidRPr="00282E72">
        <w:rPr>
          <w:color w:val="70AD47" w:themeColor="accent6"/>
        </w:rPr>
        <w:t xml:space="preserve">(pensastomaatti) ja </w:t>
      </w:r>
      <w:r w:rsidRPr="00282E72">
        <w:rPr>
          <w:i/>
          <w:iCs/>
          <w:color w:val="70AD47" w:themeColor="accent6"/>
        </w:rPr>
        <w:t>kapi</w:t>
      </w:r>
      <w:r w:rsidRPr="00282E72">
        <w:rPr>
          <w:color w:val="70AD47" w:themeColor="accent6"/>
        </w:rPr>
        <w:t xml:space="preserve"> (vesi). Miespuolinen taiteilija teki </w:t>
      </w:r>
      <w:proofErr w:type="spellStart"/>
      <w:r w:rsidRPr="00282E72">
        <w:rPr>
          <w:color w:val="70AD47" w:themeColor="accent6"/>
        </w:rPr>
        <w:t>Wati</w:t>
      </w:r>
      <w:proofErr w:type="spellEnd"/>
      <w:r w:rsidRPr="00282E72">
        <w:rPr>
          <w:color w:val="70AD47" w:themeColor="accent6"/>
        </w:rPr>
        <w:t xml:space="preserve"> </w:t>
      </w:r>
      <w:proofErr w:type="spellStart"/>
      <w:r w:rsidRPr="00282E72">
        <w:rPr>
          <w:color w:val="70AD47" w:themeColor="accent6"/>
        </w:rPr>
        <w:t>Nyiru</w:t>
      </w:r>
      <w:proofErr w:type="spellEnd"/>
      <w:r w:rsidRPr="00282E72">
        <w:rPr>
          <w:color w:val="70AD47" w:themeColor="accent6"/>
        </w:rPr>
        <w:t xml:space="preserve"> -astian, joka on esitetty erillään muista</w:t>
      </w:r>
      <w:r w:rsidR="00375C2D" w:rsidRPr="00282E72">
        <w:rPr>
          <w:color w:val="70AD47" w:themeColor="accent6"/>
        </w:rPr>
        <w:t xml:space="preserve">. </w:t>
      </w:r>
    </w:p>
    <w:p w14:paraId="7EAE6E44" w14:textId="7A5F56B9" w:rsidR="00375C2D" w:rsidRPr="006B3C5A" w:rsidRDefault="00375C2D" w:rsidP="000245D3">
      <w:pPr>
        <w:pStyle w:val="Luettelokappale"/>
        <w:numPr>
          <w:ilvl w:val="0"/>
          <w:numId w:val="1"/>
        </w:numPr>
        <w:jc w:val="both"/>
        <w:rPr>
          <w:b/>
          <w:bCs/>
          <w:sz w:val="24"/>
          <w:szCs w:val="24"/>
        </w:rPr>
      </w:pPr>
      <w:r w:rsidRPr="006B3C5A">
        <w:rPr>
          <w:b/>
          <w:bCs/>
          <w:sz w:val="24"/>
          <w:szCs w:val="24"/>
        </w:rPr>
        <w:t>Miten seitsemän sisaren tarina liittyy Seulasten tähtikuvioon?</w:t>
      </w:r>
    </w:p>
    <w:p w14:paraId="5F8A27A6" w14:textId="353E0C22" w:rsidR="00754161" w:rsidRPr="00282E72" w:rsidRDefault="00754161" w:rsidP="002F7F74">
      <w:pPr>
        <w:jc w:val="both"/>
        <w:rPr>
          <w:color w:val="70AD47" w:themeColor="accent6"/>
        </w:rPr>
      </w:pPr>
      <w:r w:rsidRPr="00282E72">
        <w:rPr>
          <w:color w:val="70AD47" w:themeColor="accent6"/>
        </w:rPr>
        <w:t xml:space="preserve">Kuru Ala -huoneessa seitsemän sisarta pakenee noitaa </w:t>
      </w:r>
      <w:r w:rsidR="00966217" w:rsidRPr="00282E72">
        <w:rPr>
          <w:color w:val="70AD47" w:themeColor="accent6"/>
        </w:rPr>
        <w:t xml:space="preserve">taivaalle, jossa he muuttuvat Plejadien eli Seulasten tähtikuvioksi. </w:t>
      </w:r>
    </w:p>
    <w:p w14:paraId="67CAF9D0" w14:textId="77777777" w:rsidR="00375C2D" w:rsidRDefault="00375C2D" w:rsidP="002F7F74">
      <w:pPr>
        <w:jc w:val="both"/>
      </w:pPr>
    </w:p>
    <w:p w14:paraId="0AD3F0E3" w14:textId="77777777" w:rsidR="00D715F6" w:rsidRPr="003F2D43" w:rsidRDefault="00D715F6" w:rsidP="002F7F74">
      <w:pPr>
        <w:jc w:val="both"/>
      </w:pPr>
    </w:p>
    <w:p w14:paraId="7FCCE8FC" w14:textId="77777777" w:rsidR="00D715F6" w:rsidRPr="003F2D43" w:rsidRDefault="00D715F6" w:rsidP="002F7F74">
      <w:pPr>
        <w:jc w:val="both"/>
      </w:pPr>
    </w:p>
    <w:p w14:paraId="73131869" w14:textId="77777777" w:rsidR="00D715F6" w:rsidRPr="003F2D43" w:rsidRDefault="00D715F6" w:rsidP="002F7F74">
      <w:pPr>
        <w:jc w:val="both"/>
      </w:pPr>
    </w:p>
    <w:p w14:paraId="25184E4E" w14:textId="3F1DB5C6" w:rsidR="002B739F" w:rsidRDefault="002B739F" w:rsidP="002F7F74">
      <w:pPr>
        <w:tabs>
          <w:tab w:val="left" w:pos="7335"/>
        </w:tabs>
        <w:jc w:val="both"/>
      </w:pPr>
    </w:p>
    <w:sectPr w:rsidR="002B739F">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3323" w14:textId="77777777" w:rsidR="007C1509" w:rsidRDefault="007C1509" w:rsidP="00D715F6">
      <w:pPr>
        <w:spacing w:after="0" w:line="240" w:lineRule="auto"/>
      </w:pPr>
      <w:r>
        <w:separator/>
      </w:r>
    </w:p>
  </w:endnote>
  <w:endnote w:type="continuationSeparator" w:id="0">
    <w:p w14:paraId="578B64F0" w14:textId="77777777" w:rsidR="007C1509" w:rsidRDefault="007C1509" w:rsidP="00D7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B67F" w14:textId="77777777" w:rsidR="007C1509" w:rsidRDefault="007C1509" w:rsidP="00D715F6">
      <w:pPr>
        <w:spacing w:after="0" w:line="240" w:lineRule="auto"/>
      </w:pPr>
      <w:r>
        <w:separator/>
      </w:r>
    </w:p>
  </w:footnote>
  <w:footnote w:type="continuationSeparator" w:id="0">
    <w:p w14:paraId="4C22E53A" w14:textId="77777777" w:rsidR="007C1509" w:rsidRDefault="007C1509" w:rsidP="00D71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B95E" w14:textId="0B69E932" w:rsidR="00D715F6" w:rsidRPr="00D715F6" w:rsidRDefault="00D715F6">
    <w:pPr>
      <w:pStyle w:val="Yltunniste"/>
      <w:rPr>
        <w:b/>
        <w:bCs/>
      </w:rPr>
    </w:pPr>
    <w:r>
      <w:tab/>
    </w:r>
    <w:r>
      <w:tab/>
    </w:r>
    <w:r w:rsidRPr="00D715F6">
      <w:rPr>
        <w:b/>
        <w:bCs/>
      </w:rPr>
      <w:t>Opettajan versio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677B4"/>
    <w:multiLevelType w:val="hybridMultilevel"/>
    <w:tmpl w:val="3C88BE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B8E3B97"/>
    <w:multiLevelType w:val="hybridMultilevel"/>
    <w:tmpl w:val="3C88BE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118477828">
    <w:abstractNumId w:val="1"/>
  </w:num>
  <w:num w:numId="2" w16cid:durableId="391536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F6"/>
    <w:rsid w:val="000245D3"/>
    <w:rsid w:val="00075739"/>
    <w:rsid w:val="00077FA0"/>
    <w:rsid w:val="000E623E"/>
    <w:rsid w:val="001025F6"/>
    <w:rsid w:val="001408C0"/>
    <w:rsid w:val="00282E72"/>
    <w:rsid w:val="002A3F53"/>
    <w:rsid w:val="002B739F"/>
    <w:rsid w:val="002F7F74"/>
    <w:rsid w:val="00301770"/>
    <w:rsid w:val="00312DFC"/>
    <w:rsid w:val="003630FB"/>
    <w:rsid w:val="00375C2D"/>
    <w:rsid w:val="00376F0E"/>
    <w:rsid w:val="003D5692"/>
    <w:rsid w:val="004964DA"/>
    <w:rsid w:val="004C5E64"/>
    <w:rsid w:val="004C739E"/>
    <w:rsid w:val="005462E9"/>
    <w:rsid w:val="005C044A"/>
    <w:rsid w:val="00664F35"/>
    <w:rsid w:val="006B3C5A"/>
    <w:rsid w:val="00717165"/>
    <w:rsid w:val="007527A6"/>
    <w:rsid w:val="007528EE"/>
    <w:rsid w:val="00754161"/>
    <w:rsid w:val="0078426E"/>
    <w:rsid w:val="007C1509"/>
    <w:rsid w:val="007F43C5"/>
    <w:rsid w:val="008173CA"/>
    <w:rsid w:val="00844E99"/>
    <w:rsid w:val="008562C5"/>
    <w:rsid w:val="008A1457"/>
    <w:rsid w:val="008E02EC"/>
    <w:rsid w:val="008F3B96"/>
    <w:rsid w:val="008F6496"/>
    <w:rsid w:val="00964539"/>
    <w:rsid w:val="00966217"/>
    <w:rsid w:val="00972431"/>
    <w:rsid w:val="009772DD"/>
    <w:rsid w:val="009909F8"/>
    <w:rsid w:val="009A4EF7"/>
    <w:rsid w:val="009D40B1"/>
    <w:rsid w:val="009F7A73"/>
    <w:rsid w:val="00A16829"/>
    <w:rsid w:val="00A2115E"/>
    <w:rsid w:val="00A23646"/>
    <w:rsid w:val="00A43929"/>
    <w:rsid w:val="00A86613"/>
    <w:rsid w:val="00AD167E"/>
    <w:rsid w:val="00B3604F"/>
    <w:rsid w:val="00B87CCC"/>
    <w:rsid w:val="00BB08B5"/>
    <w:rsid w:val="00BB50ED"/>
    <w:rsid w:val="00C377E8"/>
    <w:rsid w:val="00C43599"/>
    <w:rsid w:val="00C61E7E"/>
    <w:rsid w:val="00CF5D29"/>
    <w:rsid w:val="00D715F6"/>
    <w:rsid w:val="00D95F35"/>
    <w:rsid w:val="00E65ECF"/>
    <w:rsid w:val="00E94DCD"/>
    <w:rsid w:val="00ED7921"/>
    <w:rsid w:val="00F47F1A"/>
    <w:rsid w:val="00F54AD1"/>
    <w:rsid w:val="00F97B2A"/>
    <w:rsid w:val="00FA3A8D"/>
    <w:rsid w:val="00FC563D"/>
    <w:rsid w:val="00FF59F4"/>
    <w:rsid w:val="047C1F99"/>
    <w:rsid w:val="178291BE"/>
    <w:rsid w:val="24601084"/>
    <w:rsid w:val="6D5DD71B"/>
    <w:rsid w:val="6F6DF486"/>
    <w:rsid w:val="771CB2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7F05"/>
  <w15:chartTrackingRefBased/>
  <w15:docId w15:val="{549D42FF-FDC7-4FAA-9997-68A9E749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715F6"/>
  </w:style>
  <w:style w:type="paragraph" w:styleId="Otsikko2">
    <w:name w:val="heading 2"/>
    <w:basedOn w:val="Normaali"/>
    <w:next w:val="Normaali"/>
    <w:link w:val="Otsikko2Char"/>
    <w:uiPriority w:val="9"/>
    <w:unhideWhenUsed/>
    <w:qFormat/>
    <w:rsid w:val="000245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715F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715F6"/>
  </w:style>
  <w:style w:type="paragraph" w:styleId="Alatunniste">
    <w:name w:val="footer"/>
    <w:basedOn w:val="Normaali"/>
    <w:link w:val="AlatunnisteChar"/>
    <w:uiPriority w:val="99"/>
    <w:unhideWhenUsed/>
    <w:rsid w:val="00D715F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715F6"/>
  </w:style>
  <w:style w:type="paragraph" w:styleId="Luettelokappale">
    <w:name w:val="List Paragraph"/>
    <w:basedOn w:val="Normaali"/>
    <w:uiPriority w:val="34"/>
    <w:qFormat/>
    <w:rsid w:val="003D5692"/>
    <w:pPr>
      <w:ind w:left="720"/>
      <w:contextualSpacing/>
    </w:pPr>
  </w:style>
  <w:style w:type="character" w:customStyle="1" w:styleId="Otsikko2Char">
    <w:name w:val="Otsikko 2 Char"/>
    <w:basedOn w:val="Kappaleenoletusfontti"/>
    <w:link w:val="Otsikko2"/>
    <w:uiPriority w:val="9"/>
    <w:rsid w:val="000245D3"/>
    <w:rPr>
      <w:rFonts w:asciiTheme="majorHAnsi" w:eastAsiaTheme="majorEastAsia" w:hAnsiTheme="majorHAnsi" w:cstheme="majorBidi"/>
      <w:color w:val="2F5496" w:themeColor="accent1" w:themeShade="BF"/>
      <w:sz w:val="26"/>
      <w:szCs w:val="26"/>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566</Words>
  <Characters>4590</Characters>
  <Application>Microsoft Office Word</Application>
  <DocSecurity>0</DocSecurity>
  <Lines>38</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Mira</dc:creator>
  <cp:keywords/>
  <dc:description/>
  <cp:lastModifiedBy>Lauri Mira</cp:lastModifiedBy>
  <cp:revision>65</cp:revision>
  <dcterms:created xsi:type="dcterms:W3CDTF">2024-10-23T05:26:00Z</dcterms:created>
  <dcterms:modified xsi:type="dcterms:W3CDTF">2024-11-04T07:56:00Z</dcterms:modified>
</cp:coreProperties>
</file>